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20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val="single" w:color="auto"/>
          <w:rtl w:val="0"/>
        </w:rPr>
      </w:pPr>
      <w:r>
        <w:rPr>
          <w:rFonts w:ascii="Times New Roman"/>
          <w:b w:val="1"/>
          <w:bCs w:val="1"/>
          <w:color w:val="000000"/>
          <w:sz w:val="28"/>
          <w:szCs w:val="28"/>
          <w:u w:val="single" w:color="auto"/>
          <w:rtl w:val="0"/>
        </w:rPr>
        <w:t>HCI NOTTINGHAM - OFFERING DECLARATION AND CONFESSIONS</w:t>
      </w:r>
    </w:p>
    <w:p>
      <w:pPr>
        <w:pStyle w:val="Body"/>
        <w:bidi w:val="0"/>
        <w:spacing w:after="20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Father we thank You that, YOU are our only SOURCE.</w:t>
      </w:r>
    </w:p>
    <w:p>
      <w:pPr>
        <w:pStyle w:val="Body"/>
        <w:bidi w:val="0"/>
        <w:spacing w:after="20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We declare that the FLOODGATES of heaven are open unto us and THE BLESSING is pouring out.</w:t>
      </w:r>
    </w:p>
    <w:p>
      <w:pPr>
        <w:pStyle w:val="Body"/>
        <w:bidi w:val="0"/>
        <w:spacing w:after="200" w:line="276" w:lineRule="auto"/>
        <w:ind w:left="0" w:right="0" w:firstLine="0"/>
        <w:jc w:val="left"/>
        <w:outlineLvl w:val="0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248" w:right="1986" w:bottom="1134" w:left="1842" w:header="709" w:footer="850"/>
          <w:bidi w:val="0"/>
        </w:sect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In the Name of Jesus, as we give our Tithes and Offerings today, we believe we receive from the LORD: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Our Harvest Resource Centre; Debt FREE, FINISHED, FURNISHED, FULL and FLOURISHING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Resources and divine partners to provide Food, Water, Clothing, Health and Healing, Shelter, and Freedom to those in need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Souls and more souls from various cultures and ages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Anointings, Gifts of the Spirit and callings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Dreams, visions, revelations and angelic visitations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Divine manifestations and filled with the fullness of God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Deep and experiential knowledge of God,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Heaven</w:t>
      </w:r>
      <w:r>
        <w:rPr>
          <w:rFonts w:hAnsi="Arial Unicode MS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s storehouse opened and a surplus of prosperity poured out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Every need supplied according heaven</w:t>
      </w:r>
      <w:r>
        <w:rPr>
          <w:rFonts w:hAnsi="Arial Unicode MS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s riches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Riches, Honour, Glory, Favour and Success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Supernatural provision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Jobs or better jobs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An insatiable demand for our skills, talents, abilities, gifts and training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Positions and promotions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Raises and Bonuses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Benefits, Sales and commissions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Favourable Settlements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Estates and inheritances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Investments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Interests and income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Multiple streams of income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Rebates and returns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Discounts and Offers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Big Cheques in the mail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Gifts and Surprises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Finding money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Lost monies and properties foun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 restoration of anything lost, stolen or missing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Funds transferred into our accounts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Bills paid off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Debts supernaturally paid off, demolished and cancelled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Royalties received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Expenses reduced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Academic excellence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Scholarships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Fundings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and PhDs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Professionalism and excellence in all our endeavours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Impossible projects to come into existence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Ideas, Concepts and Insights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Divine Creative Ideas for wealth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business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and job creation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Divine Credits and excellent credit ratings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Patents  and Intellectual properties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Contracts and Awards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Knowledge, understanding and wisdom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Answers to the needs of humanity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Divine Helpers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color w:val="000000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Divine Appointments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  <w:sectPr>
          <w:headerReference w:type="default" r:id="rId6"/>
          <w:footerReference w:type="default" r:id="rId7"/>
          <w:type w:val="continuous"/>
          <w:pgSz w:w="11906" w:h="16838" w:orient="portrait"/>
          <w:pgMar w:top="1134" w:right="1134" w:bottom="1134" w:left="1134" w:header="709" w:footer="850"/>
          <w:cols w:space="244" w:num="3" w:equalWidth="1"/>
          <w:bidi w:val="0"/>
        </w:sect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Blessings and Increase</w:t>
      </w:r>
    </w:p>
    <w:p>
      <w:pPr>
        <w:pStyle w:val="Default"/>
        <w:bidi w:val="0"/>
        <w:spacing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Thank you, LORD, for meeting all of our financial needs that we may have more than enough to give into Your Kingdom and to promote the Gospel of Jesus Christ. </w:t>
      </w:r>
    </w:p>
    <w:p>
      <w:pPr>
        <w:pStyle w:val="Default"/>
        <w:bidi w:val="0"/>
        <w:spacing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This is the year of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experiencing the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LOVINGKINDNESS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of The Lord like never before.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This is our year of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experiencing the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HOLY SPIRIT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ministering to us, teaching us, leading us, reminding us and showing us things to come. He will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give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us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the treasures of darkness and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lead us to the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hidden riches of secret places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in this land, for a testimony of His LOVINGKINDNESS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(Isaiah 45:3)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Thank You, Father, that You crown our year with a bountiful harvest! Father we give You all the praise.  Thank You Lord! Hallelujah! AMEN!!</w:t>
      </w:r>
    </w:p>
    <w:p>
      <w:pPr>
        <w:pStyle w:val="Default"/>
        <w:bidi w:val="0"/>
        <w:spacing w:line="276" w:lineRule="auto"/>
        <w:ind w:left="0" w:right="0" w:firstLine="0"/>
        <w:jc w:val="left"/>
        <w:outlineLvl w:val="0"/>
        <w:rPr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We declare that we are not surviving but we are thriving and we are not failing but indeed we are flourishing.  We seal our provision and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increase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 Now in the mighty Name of Jesus and in the power of His precious blood.  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WE ARE A 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SWIMMING IN AND OVERFLOWING WITH THE LOVINGKINDNESS OF THE LORD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! AMEN!</w:t>
      </w:r>
    </w:p>
    <w:sectPr>
      <w:headerReference w:type="default" r:id="rId8"/>
      <w:footerReference w:type="default" r:id="rId9"/>
      <w:type w:val="continuous"/>
      <w:pgSz w:w="11906" w:h="16838" w:orient="portrait"/>
      <w:pgMar w:top="1134" w:right="1986" w:bottom="1134" w:left="1842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